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mh8cbc9gu4ss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Первый легальный криптообменник в России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rceli9cta7p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Новые возможности для физических и юридических лиц - SkyCapital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России открылся первый легальный криптообменник SkyCapital, предоставляющий новые возможности для пользователей криптовалюты. Теперь каждый желающий может приобрести криптовалюту как за наличные средства, так и с использованием банковских карт, что делает процесс покупки более доступным и удобным.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0l7xta6sdxu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Доступные услуги: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gtk2ntxkiq3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Для физических лиц: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Покупка криптовалюты: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Клиенты могут приобретать криптовалюту за наличные и с помощью банковской карты, что позволяет легко войти в мир цифровой индустрии.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Инвестиционные возможности: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Пользователи могут использовать криптовалюту для инвестиционных целей. Аналитики отмечают, что рынок находится на пороге бычьего цикла, что делает покупку криптовалюты привлекательным вложением.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Обратите внимание: данная информация не является финансовым советом.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Оплата товаров и услуг за границей: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Превратите свои рубли в криптовалюту и оплачивайте покупки за пределами страны. Это особенно удобно для путешественников.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Недвижимость и автомобили: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Теперь у россиян есть возможность приобретать квартиры и автомобили за криптовалюту в зарубежных странах, что расширяет горизонты для инвестиций и покупок.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hzr4xgfyvrs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Для юридических лиц: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Инвестиции в активы компании: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Юридические лица могут добавить криптовалюту на баланс своей фирмы, что позволяет диверсифицировать активы.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Оплата товаров внешнеэкономической деятельности (ВЭД):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Криптовалюта может использоваться для быстрого и безопасного расчета за товары из-за рубежа, что упрощает бизнес-процессы.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k157nhd17cs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Заключение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Запуск легального криптообменника в России — это значимый шаг в развитии финансовых технологий, цифровой индустрии и бизнеса в стране. Он предоставляет пользователям, как физическим, так и юридическим лицам, новые возможности для инвестиций и расчетов. Важно внимательно подходить к инвестициям и учитывать все риски, связанные с волатильностью криптовалютного рынка.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Для получения более подробной информации и консультаций рекомендуем обращаться к специалистам в области криптовалют и финансов.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